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png" ContentType="image/png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40"/>
        <w:jc w:val="center"/>
      </w:pPr>
      <w:r>
        <w:drawing>
          <wp:inline distT="0" distB="0" distL="0" distR="0">
            <wp:extent cx="1980000" cy="367538"/>
            <wp:effectExtent l="0" t="0" r="0" b="0"/>
            <wp:docPr id="900" name="BT Digita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367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" w:before="0" w:line="264" w:lineRule="auto"/>
        <w:jc w:val="center"/>
      </w:pPr>
      <w:r>
        <w:rPr>
          <w:rFonts w:ascii="Calibri" w:hAnsi="Calibri"/>
          <w:b/>
          <w:color w:val="1F4E79"/>
          <w:sz w:val="34"/>
        </w:rPr>
        <w:t>KLÍMA WEBOLDAL, WEBSHOP ÉS VONALKÓDOS RAKTÁRNYILVÁNTARTÁS</w:t>
      </w:r>
    </w:p>
    <w:p>
      <w:pPr>
        <w:spacing w:after="200" w:before="0"/>
        <w:jc w:val="center"/>
      </w:pPr>
      <w:r>
        <w:rPr>
          <w:rFonts w:ascii="Calibri" w:hAnsi="Calibri"/>
          <w:b/>
          <w:sz w:val="23"/>
        </w:rPr>
        <w:t>Tájékoztató fejlesztési árajánlat - „B” csomag (Közép)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c>
          <w:tcPr>
            <w:tcW w:type="dxa" w:w="1701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shd w:val="clear" w:color="auto" w:fill="D9EAF7"/>
          </w:tcPr>
          <w:p>
            <w:pPr>
              <w:spacing w:after="0" w:before="0"/>
            </w:pPr>
            <w:r/>
            <w:r>
              <w:rPr>
                <w:rFonts w:ascii="Calibri" w:hAnsi="Calibri"/>
                <w:b/>
                <w:color w:val="1F4E79"/>
                <w:sz w:val="20"/>
              </w:rPr>
              <w:t>Megrendelő</w:t>
            </w:r>
          </w:p>
        </w:tc>
        <w:tc>
          <w:tcPr>
            <w:tcW w:type="dxa" w:w="3402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/>
                <w:b w:val="0"/>
                <w:sz w:val="20"/>
              </w:rPr>
              <w:t>Réb László</w:t>
            </w:r>
            <w:r>
              <w:br/>
            </w:r>
            <w:r>
              <w:rPr>
                <w:rFonts w:ascii="Calibri" w:hAnsi="Calibri"/>
                <w:b w:val="0"/>
                <w:sz w:val="20"/>
              </w:rPr>
              <w:t>rgeklima@gmail.com</w:t>
            </w:r>
          </w:p>
        </w:tc>
        <w:tc>
          <w:tcPr>
            <w:tcW w:type="dxa" w:w="1587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shd w:val="clear" w:color="auto" w:fill="D9EAF7"/>
          </w:tcPr>
          <w:p>
            <w:pPr>
              <w:spacing w:after="0" w:before="0"/>
            </w:pPr>
            <w:r/>
            <w:r>
              <w:rPr>
                <w:rFonts w:ascii="Calibri" w:hAnsi="Calibri"/>
                <w:b/>
                <w:color w:val="1F4E79"/>
                <w:sz w:val="20"/>
              </w:rPr>
              <w:t>Dokumentum</w:t>
            </w:r>
          </w:p>
        </w:tc>
        <w:tc>
          <w:tcPr>
            <w:tcW w:type="dxa" w:w="3402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/>
                <w:b w:val="0"/>
                <w:sz w:val="20"/>
              </w:rPr>
              <w:t>Weboldal, webshop és vonalkódos raktármodul fejlesztési árajánlat, „B” csomag (Közép)</w:t>
            </w:r>
          </w:p>
        </w:tc>
      </w:tr>
      <w:tr>
        <w:tc>
          <w:tcPr>
            <w:tcW w:type="dxa" w:w="1701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shd w:val="clear" w:color="auto" w:fill="D9EAF7"/>
          </w:tcPr>
          <w:p>
            <w:pPr>
              <w:spacing w:after="0" w:before="0"/>
            </w:pPr>
            <w:r/>
            <w:r>
              <w:rPr>
                <w:rFonts w:ascii="Calibri" w:hAnsi="Calibri"/>
                <w:b/>
                <w:color w:val="1F4E79"/>
                <w:sz w:val="20"/>
              </w:rPr>
              <w:t>Vállalkozó</w:t>
            </w:r>
          </w:p>
        </w:tc>
        <w:tc>
          <w:tcPr>
            <w:tcW w:type="dxa" w:w="3402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/>
                <w:b w:val="0"/>
                <w:sz w:val="20"/>
              </w:rPr>
              <w:t>Biró Ferenc E.V.</w:t>
            </w:r>
          </w:p>
        </w:tc>
        <w:tc>
          <w:tcPr>
            <w:tcW w:type="dxa" w:w="1587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shd w:val="clear" w:color="auto" w:fill="D9EAF7"/>
          </w:tcPr>
          <w:p>
            <w:pPr>
              <w:spacing w:after="0" w:before="0"/>
            </w:pPr>
            <w:r/>
            <w:r>
              <w:rPr>
                <w:rFonts w:ascii="Calibri" w:hAnsi="Calibri"/>
                <w:b/>
                <w:color w:val="1F4E79"/>
                <w:sz w:val="20"/>
              </w:rPr>
              <w:t>Verzió</w:t>
            </w:r>
          </w:p>
        </w:tc>
        <w:tc>
          <w:tcPr>
            <w:tcW w:type="dxa" w:w="3402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/>
                <w:b w:val="0"/>
                <w:sz w:val="20"/>
              </w:rPr>
              <w:t>v1.0</w:t>
            </w:r>
          </w:p>
        </w:tc>
      </w:tr>
      <w:tr>
        <w:tc>
          <w:tcPr>
            <w:tcW w:type="dxa" w:w="1701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shd w:val="clear" w:color="auto" w:fill="D9EAF7"/>
          </w:tcPr>
          <w:p>
            <w:pPr>
              <w:spacing w:after="0" w:before="0"/>
            </w:pPr>
            <w:r/>
            <w:r>
              <w:rPr>
                <w:rFonts w:ascii="Calibri" w:hAnsi="Calibri"/>
                <w:b/>
                <w:color w:val="1F4E79"/>
                <w:sz w:val="20"/>
              </w:rPr>
              <w:t>Projekt</w:t>
            </w:r>
          </w:p>
        </w:tc>
        <w:tc>
          <w:tcPr>
            <w:tcW w:type="dxa" w:w="3402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/>
                <w:b w:val="0"/>
                <w:sz w:val="20"/>
              </w:rPr>
              <w:t>Klíma webshop és vonalkódos raktárnyilvántartás - „B” csomag (Közép)</w:t>
            </w:r>
          </w:p>
        </w:tc>
        <w:tc>
          <w:tcPr>
            <w:tcW w:type="dxa" w:w="1587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shd w:val="clear" w:color="auto" w:fill="D9EAF7"/>
          </w:tcPr>
          <w:p>
            <w:pPr>
              <w:spacing w:after="0" w:before="0"/>
            </w:pPr>
            <w:r/>
            <w:r>
              <w:rPr>
                <w:rFonts w:ascii="Calibri" w:hAnsi="Calibri"/>
                <w:b/>
                <w:color w:val="1F4E79"/>
                <w:sz w:val="20"/>
              </w:rPr>
              <w:t>Dátum</w:t>
            </w:r>
          </w:p>
        </w:tc>
        <w:tc>
          <w:tcPr>
            <w:tcW w:type="dxa" w:w="3402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/>
                <w:b w:val="0"/>
                <w:sz w:val="20"/>
              </w:rPr>
              <w:t>2026. szeptember 4.</w:t>
            </w:r>
          </w:p>
        </w:tc>
      </w:tr>
      <w:tr>
        <w:tc>
          <w:tcPr>
            <w:tcW w:type="dxa" w:w="1701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shd w:val="clear" w:color="auto" w:fill="D9EAF7"/>
          </w:tcPr>
          <w:p>
            <w:pPr>
              <w:spacing w:after="0" w:before="0"/>
            </w:pPr>
            <w:r/>
            <w:r>
              <w:rPr>
                <w:rFonts w:ascii="Calibri" w:hAnsi="Calibri"/>
                <w:b/>
                <w:color w:val="1F4E79"/>
                <w:sz w:val="20"/>
              </w:rPr>
              <w:t>Érvényesség</w:t>
            </w:r>
          </w:p>
        </w:tc>
        <w:tc>
          <w:tcPr>
            <w:tcW w:type="dxa" w:w="3402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/>
                <w:b w:val="0"/>
                <w:sz w:val="20"/>
              </w:rPr>
              <w:t>2026.10.04</w:t>
            </w:r>
          </w:p>
        </w:tc>
        <w:tc>
          <w:tcPr>
            <w:tcW w:type="dxa" w:w="1587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shd w:val="clear" w:color="auto" w:fill="D9EAF7"/>
          </w:tcPr>
          <w:p>
            <w:pPr>
              <w:spacing w:after="0" w:before="0"/>
            </w:pPr>
            <w:r/>
            <w:r>
              <w:rPr>
                <w:rFonts w:ascii="Calibri" w:hAnsi="Calibri"/>
                <w:b/>
                <w:color w:val="1F4E79"/>
                <w:sz w:val="20"/>
              </w:rPr>
              <w:t>Kapcsolattartó</w:t>
            </w:r>
          </w:p>
        </w:tc>
        <w:tc>
          <w:tcPr>
            <w:tcW w:type="dxa" w:w="3402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/>
                <w:b w:val="0"/>
                <w:sz w:val="20"/>
              </w:rPr>
              <w:t>Biró Ferenc / +36 30 507 9107</w:t>
            </w:r>
            <w:r>
              <w:br/>
            </w:r>
            <w:r>
              <w:rPr>
                <w:rFonts w:ascii="Calibri" w:hAnsi="Calibri"/>
                <w:b w:val="0"/>
                <w:sz w:val="20"/>
              </w:rPr>
              <w:t>btdigital.hu/contact</w:t>
            </w:r>
          </w:p>
        </w:tc>
      </w:tr>
    </w:tbl>
    <w:p>
      <w:pPr>
        <w:spacing w:after="80" w:before="0"/>
      </w:pPr>
    </w:p>
    <w:p>
      <w:pPr>
        <w:keepNext/>
        <w:spacing w:before="240" w:after="80"/>
        <w:pBdr>
          <w:bottom w:val="single" w:sz="4" w:space="2" w:color="8EAADB"/>
        </w:pBdr>
      </w:pPr>
      <w:r>
        <w:rPr>
          <w:rFonts w:ascii="Calibri" w:hAnsi="Calibri"/>
          <w:b/>
          <w:color w:val="1F4E79"/>
          <w:sz w:val="25"/>
        </w:rPr>
        <w:t>1. A dokumentum célja</w:t>
      </w:r>
    </w:p>
    <w:p>
      <w:pPr>
        <w:spacing w:before="0" w:after="120" w:line="259" w:lineRule="auto"/>
      </w:pPr>
      <w:r>
        <w:rPr>
          <w:rFonts w:ascii="Calibri" w:hAnsi="Calibri"/>
          <w:b w:val="0"/>
          <w:sz w:val="22"/>
        </w:rPr>
        <w:t xml:space="preserve">Jelen dokumentum a klímaberendezéseket forgalmazó megrendelő weboldalához, webshopjához és raktárkészletéhez kapcsolódó, közepes terjedelmű („B” csomag) fejlesztési és kivitelezési megállapodása. Az „A” csomaghoz képest ez a verzió vonalkódos raktárkezelést, fél-automatikus webshop-raktár készletszinkronizációt és digitális e-aláírásos átvételi elismervényt is tartalmaz. </w:t>
      </w:r>
      <w:r>
        <w:rPr>
          <w:rFonts w:ascii="Calibri" w:hAnsi="Calibri"/>
          <w:b/>
          <w:sz w:val="22"/>
        </w:rPr>
        <w:t>Ez a dokumentum tájékoztató jellegű, a csomagok tartalmának és díjazásának összehasonlítására szolgál; a projektindítás alapja a külön egyeztetett és aláírt szerződés.</w:t>
      </w:r>
    </w:p>
    <w:p>
      <w:pPr>
        <w:keepNext/>
        <w:spacing w:before="240" w:after="80"/>
        <w:pBdr>
          <w:bottom w:val="single" w:sz="4" w:space="2" w:color="8EAADB"/>
        </w:pBdr>
      </w:pPr>
      <w:r>
        <w:rPr>
          <w:rFonts w:ascii="Calibri" w:hAnsi="Calibri"/>
          <w:b/>
          <w:color w:val="1F4E79"/>
          <w:sz w:val="25"/>
        </w:rPr>
        <w:t>2. Vállalt fejlesztési és kivitelezési feladatok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c>
          <w:tcPr>
            <w:tcW w:type="dxa" w:w="4819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1F4E79"/>
            <w:tcMar>
              <w:top w:w="45" w:type="dxa"/>
              <w:left w:w="70" w:type="dxa"/>
              <w:bottom w:w="45" w:type="dxa"/>
              <w:right w:w="7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color w:val="FFFFFF"/>
                <w:sz w:val="19"/>
              </w:rPr>
              <w:t>Munkarész</w:t>
            </w:r>
          </w:p>
        </w:tc>
        <w:tc>
          <w:tcPr>
            <w:tcW w:type="dxa" w:w="4819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1F4E79"/>
            <w:tcMar>
              <w:top w:w="45" w:type="dxa"/>
              <w:left w:w="70" w:type="dxa"/>
              <w:bottom w:w="45" w:type="dxa"/>
              <w:right w:w="7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color w:val="FFFFFF"/>
                <w:sz w:val="19"/>
              </w:rPr>
              <w:t>Tartalom röviden</w:t>
            </w:r>
          </w:p>
        </w:tc>
      </w:tr>
      <w:tr>
        <w:tc>
          <w:tcPr>
            <w:tcW w:type="dxa" w:w="4819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5" w:type="dxa"/>
              <w:left w:w="70" w:type="dxa"/>
              <w:bottom w:w="35" w:type="dxa"/>
              <w:right w:w="7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Calibri" w:hAnsi="Calibri"/>
                <w:b/>
                <w:color w:val="1F4E79"/>
                <w:sz w:val="19"/>
              </w:rPr>
              <w:t>1. Igényfelmérés és specifikáció</w:t>
            </w:r>
          </w:p>
        </w:tc>
        <w:tc>
          <w:tcPr>
            <w:tcW w:type="dxa" w:w="4819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5" w:type="dxa"/>
              <w:left w:w="70" w:type="dxa"/>
              <w:bottom w:w="35" w:type="dxa"/>
              <w:right w:w="7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Calibri" w:hAnsi="Calibri"/>
                <w:b w:val="0"/>
                <w:sz w:val="19"/>
              </w:rPr>
              <w:t>Funkciólista, termékkatalógus- és raktárstruktúra, rendelési és raktári folyamatok, MVP-scope és ütemezés rögzítése.</w:t>
            </w:r>
          </w:p>
        </w:tc>
      </w:tr>
      <w:tr>
        <w:tc>
          <w:tcPr>
            <w:tcW w:type="dxa" w:w="4819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5" w:type="dxa"/>
              <w:left w:w="70" w:type="dxa"/>
              <w:bottom w:w="35" w:type="dxa"/>
              <w:right w:w="70" w:type="dxa"/>
            </w:tcMar>
            <w:shd w:val="clear" w:color="auto" w:fill="F8FBFD"/>
          </w:tcPr>
          <w:p>
            <w:pPr>
              <w:spacing w:after="0" w:line="252" w:lineRule="auto"/>
            </w:pPr>
            <w:r/>
            <w:r>
              <w:rPr>
                <w:rFonts w:ascii="Calibri" w:hAnsi="Calibri"/>
                <w:b/>
                <w:color w:val="1F4E79"/>
                <w:sz w:val="19"/>
              </w:rPr>
              <w:t>2. UI/UX design</w:t>
            </w:r>
          </w:p>
        </w:tc>
        <w:tc>
          <w:tcPr>
            <w:tcW w:type="dxa" w:w="4819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5" w:type="dxa"/>
              <w:left w:w="70" w:type="dxa"/>
              <w:bottom w:w="35" w:type="dxa"/>
              <w:right w:w="70" w:type="dxa"/>
            </w:tcMar>
            <w:shd w:val="clear" w:color="auto" w:fill="F8FBFD"/>
          </w:tcPr>
          <w:p>
            <w:pPr>
              <w:spacing w:after="0" w:line="252" w:lineRule="auto"/>
            </w:pPr>
            <w:r/>
            <w:r>
              <w:rPr>
                <w:rFonts w:ascii="Calibri" w:hAnsi="Calibri"/>
                <w:b w:val="0"/>
                <w:sz w:val="19"/>
              </w:rPr>
              <w:t>Reszponzív weboldal- és webshop-tervek, valamint a raktári szken-felület (vonalkód-beolvasó mező, mód-váltó) tervezése.</w:t>
            </w:r>
          </w:p>
        </w:tc>
      </w:tr>
      <w:tr>
        <w:tc>
          <w:tcPr>
            <w:tcW w:type="dxa" w:w="4819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5" w:type="dxa"/>
              <w:left w:w="70" w:type="dxa"/>
              <w:bottom w:w="35" w:type="dxa"/>
              <w:right w:w="7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Calibri" w:hAnsi="Calibri"/>
                <w:b/>
                <w:color w:val="1F4E79"/>
                <w:sz w:val="19"/>
              </w:rPr>
              <w:t>3. Weboldal és webshop fejlesztés</w:t>
            </w:r>
          </w:p>
        </w:tc>
        <w:tc>
          <w:tcPr>
            <w:tcW w:type="dxa" w:w="4819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5" w:type="dxa"/>
              <w:left w:w="70" w:type="dxa"/>
              <w:bottom w:w="35" w:type="dxa"/>
              <w:right w:w="7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Calibri" w:hAnsi="Calibri"/>
                <w:b w:val="0"/>
                <w:sz w:val="19"/>
              </w:rPr>
              <w:t>Egyoldalas bemutatkozó oldal, max. 50-60 termékes webshop, kosár, rendelésleadás, rendelés-visszaigazolás.</w:t>
            </w:r>
          </w:p>
        </w:tc>
      </w:tr>
      <w:tr>
        <w:tc>
          <w:tcPr>
            <w:tcW w:type="dxa" w:w="4819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5" w:type="dxa"/>
              <w:left w:w="70" w:type="dxa"/>
              <w:bottom w:w="35" w:type="dxa"/>
              <w:right w:w="70" w:type="dxa"/>
            </w:tcMar>
            <w:shd w:val="clear" w:color="auto" w:fill="F8FBFD"/>
          </w:tcPr>
          <w:p>
            <w:pPr>
              <w:spacing w:after="0" w:line="252" w:lineRule="auto"/>
            </w:pPr>
            <w:r/>
            <w:r>
              <w:rPr>
                <w:rFonts w:ascii="Calibri" w:hAnsi="Calibri"/>
                <w:b/>
                <w:color w:val="1F4E79"/>
                <w:sz w:val="19"/>
              </w:rPr>
              <w:t>4. Backend és admin felület</w:t>
            </w:r>
          </w:p>
        </w:tc>
        <w:tc>
          <w:tcPr>
            <w:tcW w:type="dxa" w:w="4819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5" w:type="dxa"/>
              <w:left w:w="70" w:type="dxa"/>
              <w:bottom w:w="35" w:type="dxa"/>
              <w:right w:w="70" w:type="dxa"/>
            </w:tcMar>
            <w:shd w:val="clear" w:color="auto" w:fill="F8FBFD"/>
          </w:tcPr>
          <w:p>
            <w:pPr>
              <w:spacing w:after="0" w:line="252" w:lineRule="auto"/>
            </w:pPr>
            <w:r/>
            <w:r>
              <w:rPr>
                <w:rFonts w:ascii="Calibri" w:hAnsi="Calibri"/>
                <w:b w:val="0"/>
                <w:sz w:val="19"/>
              </w:rPr>
              <w:t>API, adatbázis, admin felület: rendelések, termékek, készletmozgás-napló, alap riportok.</w:t>
            </w:r>
          </w:p>
        </w:tc>
      </w:tr>
      <w:tr>
        <w:tc>
          <w:tcPr>
            <w:tcW w:type="dxa" w:w="4819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5" w:type="dxa"/>
              <w:left w:w="70" w:type="dxa"/>
              <w:bottom w:w="35" w:type="dxa"/>
              <w:right w:w="7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Calibri" w:hAnsi="Calibri"/>
                <w:b/>
                <w:color w:val="1F4E79"/>
                <w:sz w:val="19"/>
              </w:rPr>
              <w:t>5. Vonalkódos raktármodul</w:t>
            </w:r>
          </w:p>
        </w:tc>
        <w:tc>
          <w:tcPr>
            <w:tcW w:type="dxa" w:w="4819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5" w:type="dxa"/>
              <w:left w:w="70" w:type="dxa"/>
              <w:bottom w:w="35" w:type="dxa"/>
              <w:right w:w="7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Calibri" w:hAnsi="Calibri"/>
                <w:b w:val="0"/>
                <w:sz w:val="19"/>
              </w:rPr>
              <w:t>Vonalkód-beolvasó mező (billentyűzet-emulációs/HID scannerrel), bevételezés/kivételezés/leltár mód-váltóval, mennyiség kezelése, ismeretlen kód hibakezelése.</w:t>
            </w:r>
          </w:p>
        </w:tc>
      </w:tr>
      <w:tr>
        <w:tc>
          <w:tcPr>
            <w:tcW w:type="dxa" w:w="4819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5" w:type="dxa"/>
              <w:left w:w="70" w:type="dxa"/>
              <w:bottom w:w="35" w:type="dxa"/>
              <w:right w:w="70" w:type="dxa"/>
            </w:tcMar>
            <w:shd w:val="clear" w:color="auto" w:fill="F8FBFD"/>
          </w:tcPr>
          <w:p>
            <w:pPr>
              <w:spacing w:after="0" w:line="252" w:lineRule="auto"/>
            </w:pPr>
            <w:r/>
            <w:r>
              <w:rPr>
                <w:rFonts w:ascii="Calibri" w:hAnsi="Calibri"/>
                <w:b/>
                <w:color w:val="1F4E79"/>
                <w:sz w:val="19"/>
              </w:rPr>
              <w:t>6. Készletszinkronizáció</w:t>
            </w:r>
          </w:p>
        </w:tc>
        <w:tc>
          <w:tcPr>
            <w:tcW w:type="dxa" w:w="4819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5" w:type="dxa"/>
              <w:left w:w="70" w:type="dxa"/>
              <w:bottom w:w="35" w:type="dxa"/>
              <w:right w:w="70" w:type="dxa"/>
            </w:tcMar>
            <w:shd w:val="clear" w:color="auto" w:fill="F8FBFD"/>
          </w:tcPr>
          <w:p>
            <w:pPr>
              <w:spacing w:after="0" w:line="252" w:lineRule="auto"/>
            </w:pPr>
            <w:r/>
            <w:r>
              <w:rPr>
                <w:rFonts w:ascii="Calibri" w:hAnsi="Calibri"/>
                <w:b w:val="0"/>
                <w:sz w:val="19"/>
              </w:rPr>
              <w:t>A raktári mozgások és a webshop-készlet fél-automatikus (mozgás utáni/napi) összehangolása.</w:t>
            </w:r>
          </w:p>
        </w:tc>
      </w:tr>
      <w:tr>
        <w:tc>
          <w:tcPr>
            <w:tcW w:type="dxa" w:w="4819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5" w:type="dxa"/>
              <w:left w:w="70" w:type="dxa"/>
              <w:bottom w:w="35" w:type="dxa"/>
              <w:right w:w="7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Calibri" w:hAnsi="Calibri"/>
                <w:b/>
                <w:color w:val="1F4E79"/>
                <w:sz w:val="19"/>
              </w:rPr>
              <w:t>7. E-aláírásos átvétel</w:t>
            </w:r>
          </w:p>
        </w:tc>
        <w:tc>
          <w:tcPr>
            <w:tcW w:type="dxa" w:w="4819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5" w:type="dxa"/>
              <w:left w:w="70" w:type="dxa"/>
              <w:bottom w:w="35" w:type="dxa"/>
              <w:right w:w="7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Calibri" w:hAnsi="Calibri"/>
                <w:b w:val="0"/>
                <w:sz w:val="19"/>
              </w:rPr>
              <w:t>Digitális aláírás rögzítése érintőképernyőn/egéren, PDF-elismervény generálása és e-mailes kiküldése.</w:t>
            </w:r>
          </w:p>
        </w:tc>
      </w:tr>
      <w:tr>
        <w:tc>
          <w:tcPr>
            <w:tcW w:type="dxa" w:w="4819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5" w:type="dxa"/>
              <w:left w:w="70" w:type="dxa"/>
              <w:bottom w:w="35" w:type="dxa"/>
              <w:right w:w="70" w:type="dxa"/>
            </w:tcMar>
            <w:shd w:val="clear" w:color="auto" w:fill="F8FBFD"/>
          </w:tcPr>
          <w:p>
            <w:pPr>
              <w:spacing w:after="0" w:line="252" w:lineRule="auto"/>
            </w:pPr>
            <w:r/>
            <w:r>
              <w:rPr>
                <w:rFonts w:ascii="Calibri" w:hAnsi="Calibri"/>
                <w:b/>
                <w:color w:val="1F4E79"/>
                <w:sz w:val="19"/>
              </w:rPr>
              <w:t>8. Integrációk</w:t>
            </w:r>
          </w:p>
        </w:tc>
        <w:tc>
          <w:tcPr>
            <w:tcW w:type="dxa" w:w="4819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5" w:type="dxa"/>
              <w:left w:w="70" w:type="dxa"/>
              <w:bottom w:w="35" w:type="dxa"/>
              <w:right w:w="70" w:type="dxa"/>
            </w:tcMar>
            <w:shd w:val="clear" w:color="auto" w:fill="F8FBFD"/>
          </w:tcPr>
          <w:p>
            <w:pPr>
              <w:spacing w:after="0" w:line="252" w:lineRule="auto"/>
            </w:pPr>
            <w:r/>
            <w:r>
              <w:rPr>
                <w:rFonts w:ascii="Calibri" w:hAnsi="Calibri"/>
                <w:b w:val="0"/>
                <w:sz w:val="19"/>
              </w:rPr>
              <w:t>Számlázz.hu API (automatikus számla + előlegszámla + e-mail), online fizetési mód.</w:t>
            </w:r>
          </w:p>
        </w:tc>
      </w:tr>
      <w:tr>
        <w:tc>
          <w:tcPr>
            <w:tcW w:type="dxa" w:w="4819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5" w:type="dxa"/>
              <w:left w:w="70" w:type="dxa"/>
              <w:bottom w:w="35" w:type="dxa"/>
              <w:right w:w="7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Calibri" w:hAnsi="Calibri"/>
                <w:b/>
                <w:color w:val="1F4E79"/>
                <w:sz w:val="19"/>
              </w:rPr>
              <w:t>9. Tesztelés, élesítés, átadás</w:t>
            </w:r>
          </w:p>
        </w:tc>
        <w:tc>
          <w:tcPr>
            <w:tcW w:type="dxa" w:w="4819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5" w:type="dxa"/>
              <w:left w:w="70" w:type="dxa"/>
              <w:bottom w:w="35" w:type="dxa"/>
              <w:right w:w="7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Calibri" w:hAnsi="Calibri"/>
                <w:b w:val="0"/>
                <w:sz w:val="19"/>
              </w:rPr>
              <w:t>QA, hibajavítás, éles szerverre telepítés, hozzáférések átadása, üzemeltetési és admin dokumentáció.</w:t>
            </w:r>
          </w:p>
        </w:tc>
      </w:tr>
    </w:tbl>
    <w:p>
      <w:pPr>
        <w:keepNext/>
        <w:spacing w:before="240" w:after="80"/>
        <w:pBdr>
          <w:bottom w:val="single" w:sz="4" w:space="2" w:color="8EAADB"/>
        </w:pBdr>
      </w:pPr>
      <w:r>
        <w:rPr>
          <w:rFonts w:ascii="Calibri" w:hAnsi="Calibri"/>
          <w:b/>
          <w:color w:val="1F4E79"/>
          <w:sz w:val="25"/>
        </w:rPr>
        <w:t>3. Előzetes funkcionális scope - példaszerű tartalom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c>
          <w:tcPr>
            <w:tcW w:type="dxa" w:w="4819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90" w:type="dxa"/>
              <w:bottom w:w="70" w:type="dxa"/>
              <w:right w:w="90" w:type="dxa"/>
            </w:tcMar>
            <w:shd w:val="clear" w:color="auto" w:fill="EAF3F8"/>
          </w:tcPr>
          <w:p>
            <w:pPr>
              <w:spacing w:after="80"/>
            </w:pPr>
            <w:r/>
            <w:r>
              <w:rPr>
                <w:rFonts w:ascii="Calibri" w:hAnsi="Calibri"/>
                <w:b/>
                <w:color w:val="1F4E79"/>
                <w:sz w:val="20"/>
              </w:rPr>
              <w:t>Weboldal és ügyféloldali webshop - példa scope</w:t>
            </w:r>
          </w:p>
          <w:p>
            <w:pPr>
              <w:spacing w:after="80" w:line="259" w:lineRule="auto"/>
            </w:pPr>
            <w:r>
              <w:rPr>
                <w:rFonts w:ascii="Calibri" w:hAnsi="Calibri"/>
                <w:b w:val="0"/>
                <w:sz w:val="19"/>
              </w:rPr>
              <w:t>Egyoldalas bemutatkozó oldal és max. 50-60 termékes webshop, kosárral, rendelésleadással, automatikus számlázással (számlázz.hu) és rendelés-visszaigazolással - az „A” csomaggal megegyezően.</w:t>
            </w:r>
          </w:p>
        </w:tc>
        <w:tc>
          <w:tcPr>
            <w:tcW w:type="dxa" w:w="4819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90" w:type="dxa"/>
              <w:bottom w:w="70" w:type="dxa"/>
              <w:right w:w="90" w:type="dxa"/>
            </w:tcMar>
            <w:shd w:val="clear" w:color="auto" w:fill="F7F7F7"/>
          </w:tcPr>
          <w:p>
            <w:pPr>
              <w:spacing w:after="80"/>
            </w:pPr>
            <w:r/>
            <w:r>
              <w:rPr>
                <w:rFonts w:ascii="Calibri" w:hAnsi="Calibri"/>
                <w:b/>
                <w:color w:val="1F4E79"/>
                <w:sz w:val="20"/>
              </w:rPr>
              <w:t>Raktár/ERP modul - példa scope</w:t>
            </w:r>
          </w:p>
          <w:p>
            <w:pPr>
              <w:spacing w:after="80" w:line="259" w:lineRule="auto"/>
            </w:pPr>
            <w:r>
              <w:rPr>
                <w:rFonts w:ascii="Calibri" w:hAnsi="Calibri"/>
                <w:b w:val="0"/>
                <w:sz w:val="19"/>
              </w:rPr>
              <w:t>Vonalkód-beolvasó mező, amibe a raktáros a cikkszámot/vonalkódot USB/Bluetooth scannerrel olvassa be; a felület előre kiválasztott módban (Bevételezés / Kivételezés / Leltár) dolgozza fel a beolvasást; mennyiség megadása egy beolvasáshoz; minden mozgás naplózva (ki, mikor, mit, mennyit); a webshop-készlet a raktármozgás után rövid időn belül frissül.</w:t>
            </w:r>
          </w:p>
        </w:tc>
      </w:tr>
      <w:tr>
        <w:tc>
          <w:tcPr>
            <w:tcW w:type="dxa" w:w="4819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90" w:type="dxa"/>
              <w:bottom w:w="70" w:type="dxa"/>
              <w:right w:w="90" w:type="dxa"/>
            </w:tcMar>
            <w:shd w:val="clear" w:color="auto" w:fill="EAF3F8"/>
          </w:tcPr>
          <w:p>
            <w:pPr>
              <w:spacing w:after="80"/>
            </w:pPr>
            <w:r/>
            <w:r>
              <w:rPr>
                <w:rFonts w:ascii="Calibri" w:hAnsi="Calibri"/>
                <w:b/>
                <w:color w:val="1F4E79"/>
                <w:sz w:val="20"/>
              </w:rPr>
              <w:t>Átvételi e-aláírás - példa scope</w:t>
            </w:r>
          </w:p>
          <w:p>
            <w:pPr>
              <w:spacing w:after="80" w:line="259" w:lineRule="auto"/>
            </w:pPr>
            <w:r>
              <w:rPr>
                <w:rFonts w:ascii="Calibri" w:hAnsi="Calibri"/>
                <w:b w:val="0"/>
                <w:sz w:val="19"/>
              </w:rPr>
              <w:t>Kiszállításkor/átvételkor a vásárló érintőképernyőn vagy egérrel aláírja az átvételt; a rendszer PDF-elismervényt generál a tételekkel és az aláírással, amit e-mailben is megkap a vásárló.</w:t>
            </w:r>
          </w:p>
        </w:tc>
        <w:tc>
          <w:tcPr>
            <w:tcW w:type="dxa" w:w="4819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70" w:type="dxa"/>
              <w:left w:w="90" w:type="dxa"/>
              <w:bottom w:w="70" w:type="dxa"/>
              <w:right w:w="90" w:type="dxa"/>
            </w:tcMar>
            <w:shd w:val="clear" w:color="auto" w:fill="F7F7F7"/>
          </w:tcPr>
          <w:p>
            <w:pPr>
              <w:spacing w:after="80"/>
            </w:pPr>
            <w:r/>
            <w:r>
              <w:rPr>
                <w:rFonts w:ascii="Calibri" w:hAnsi="Calibri"/>
                <w:b/>
                <w:color w:val="1F4E79"/>
                <w:sz w:val="20"/>
              </w:rPr>
              <w:t>Admin/backend - példa scope</w:t>
            </w:r>
          </w:p>
          <w:p>
            <w:pPr>
              <w:spacing w:after="80" w:line="259" w:lineRule="auto"/>
            </w:pPr>
            <w:r>
              <w:rPr>
                <w:rFonts w:ascii="Calibri" w:hAnsi="Calibri"/>
                <w:b w:val="0"/>
                <w:sz w:val="19"/>
              </w:rPr>
              <w:t>Beérkező rendelések és készletmozgások listája, keresés, szűrés, státuszváltás; termékek, kategóriák és raktárkészlet kezelése; alap riportok (napi/havi eladás, aktuális készletérték).</w:t>
            </w:r>
          </w:p>
          <w:p>
            <w:pPr>
              <w:spacing w:after="80" w:line="259" w:lineRule="auto"/>
            </w:pPr>
            <w:r>
              <w:rPr>
                <w:rFonts w:ascii="Calibri" w:hAnsi="Calibri"/>
                <w:b w:val="0"/>
                <w:sz w:val="19"/>
              </w:rPr>
              <w:t>Technikai példa: Laravel backend (Backpack admin felület), MySQL/PostgreSQL adatbázis, Rackforest VPS, SSL, backup, számlázz.hu API, Barion/SimplePay vagy Stripe fizetési API, vonalkódolvasó hardver (HID/keyboard-wedge mód, külön beszerzendő eszköz).</w:t>
            </w:r>
          </w:p>
        </w:tc>
      </w:tr>
    </w:tbl>
    <w:p>
      <w:pPr>
        <w:keepNext/>
        <w:spacing w:before="240" w:after="80"/>
        <w:pBdr>
          <w:bottom w:val="single" w:sz="4" w:space="2" w:color="8EAADB"/>
        </w:pBdr>
      </w:pPr>
      <w:r>
        <w:rPr>
          <w:rFonts w:ascii="Calibri" w:hAnsi="Calibri"/>
          <w:b/>
          <w:color w:val="1F4E79"/>
          <w:sz w:val="25"/>
        </w:rPr>
        <w:t>4. Scope-határok és külön egyeztetendő tételek</w:t>
      </w:r>
    </w:p>
    <w:p>
      <w:pPr>
        <w:spacing w:before="0" w:after="120" w:line="259" w:lineRule="auto"/>
      </w:pPr>
      <w:r>
        <w:rPr>
          <w:rFonts w:ascii="Calibri" w:hAnsi="Calibri"/>
          <w:b w:val="0"/>
          <w:sz w:val="20"/>
        </w:rPr>
        <w:t>Ez a csomag nem tartalmazza: a valós idejű, kétirányú (versenyhelyzet-biztos) készletszinkronizációt, a több szerepkörre bontott jogosultságkezelést és a teljes audit logot, a vezetői riport/dashboard modult, valamint a saját vonalkódcímke-generálást és nyomtatást (ha a termékeken még nincs használható gyártói vonalkód, ez külön tétel, külön ajánlat szerint) - ezek a „C” csomagban érhetők el. Szintén nem része: minősített e-aláírás szolgáltatás bevonása; többnyelvűség; saját mobilapp raktárosoknak; futárszolgálati API-integráció; könyvelőprogram-integráció a számlázz.hu-n túl; marketing/SEO-kampány; termékfotózás/tartalomgyártás; ÁSZF és adatkezelési tájékoztató jogi szövegezése. Ezek külön igényként, külön műszaki és pénzügyi egyeztetéssel kerülhetnek be a projektbe. Fontos: a fél-automatikus készletszinkronizáció miatt egyidejű webshopos rendelés és raktári mozgás esetén rövid ideig eltérhet a webshopban látható és a valós készlet (elvi túlrendelés lehetősége); valós idejű, tranzakciós zárolással védett készletkezelést a „C” csomag tartalmaz.</w:t>
      </w:r>
    </w:p>
    <w:p>
      <w:pPr>
        <w:keepNext/>
        <w:spacing w:before="240" w:after="80"/>
        <w:pBdr>
          <w:bottom w:val="single" w:sz="4" w:space="2" w:color="8EAADB"/>
        </w:pBdr>
      </w:pPr>
      <w:r>
        <w:rPr>
          <w:rFonts w:ascii="Calibri" w:hAnsi="Calibri"/>
          <w:b/>
          <w:color w:val="1F4E79"/>
          <w:sz w:val="25"/>
        </w:rPr>
        <w:t>5. Költség, fizetés, havi üzemeltetés és SLA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c>
          <w:tcPr>
            <w:tcW w:type="dxa" w:w="2721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1F4E79"/>
            <w:tcMar>
              <w:top w:w="45" w:type="dxa"/>
              <w:left w:w="70" w:type="dxa"/>
              <w:bottom w:w="45" w:type="dxa"/>
              <w:right w:w="7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color w:val="FFFFFF"/>
                <w:sz w:val="19"/>
              </w:rPr>
              <w:t>Tétel</w:t>
            </w:r>
          </w:p>
        </w:tc>
        <w:tc>
          <w:tcPr>
            <w:tcW w:type="dxa" w:w="3515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1F4E79"/>
            <w:tcMar>
              <w:top w:w="45" w:type="dxa"/>
              <w:left w:w="70" w:type="dxa"/>
              <w:bottom w:w="45" w:type="dxa"/>
              <w:right w:w="7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color w:val="FFFFFF"/>
                <w:sz w:val="19"/>
              </w:rPr>
              <w:t>Díj / érték</w:t>
            </w:r>
          </w:p>
        </w:tc>
        <w:tc>
          <w:tcPr>
            <w:tcW w:type="dxa" w:w="3402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1F4E79"/>
            <w:tcMar>
              <w:top w:w="45" w:type="dxa"/>
              <w:left w:w="70" w:type="dxa"/>
              <w:bottom w:w="45" w:type="dxa"/>
              <w:right w:w="7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color w:val="FFFFFF"/>
                <w:sz w:val="19"/>
              </w:rPr>
              <w:t>Megjegyzés</w:t>
            </w:r>
          </w:p>
        </w:tc>
      </w:tr>
      <w:tr>
        <w:tc>
          <w:tcPr>
            <w:tcW w:type="dxa" w:w="2721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5" w:type="dxa"/>
              <w:left w:w="70" w:type="dxa"/>
              <w:bottom w:w="35" w:type="dxa"/>
              <w:right w:w="7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Calibri" w:hAnsi="Calibri"/>
                <w:b/>
                <w:color w:val="1F4E79"/>
                <w:sz w:val="19"/>
              </w:rPr>
              <w:t>Egyszeri fejlesztési díj</w:t>
            </w:r>
          </w:p>
        </w:tc>
        <w:tc>
          <w:tcPr>
            <w:tcW w:type="dxa" w:w="3515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5" w:type="dxa"/>
              <w:left w:w="70" w:type="dxa"/>
              <w:bottom w:w="35" w:type="dxa"/>
              <w:right w:w="7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Calibri" w:hAnsi="Calibri"/>
                <w:b w:val="0"/>
                <w:sz w:val="19"/>
              </w:rPr>
              <w:t>2 150 000 - 2 500 000 Ft nettó</w:t>
            </w:r>
          </w:p>
        </w:tc>
        <w:tc>
          <w:tcPr>
            <w:tcW w:type="dxa" w:w="3402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5" w:type="dxa"/>
              <w:left w:w="70" w:type="dxa"/>
              <w:bottom w:w="35" w:type="dxa"/>
              <w:right w:w="7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Calibri" w:hAnsi="Calibri"/>
                <w:b w:val="0"/>
                <w:sz w:val="19"/>
              </w:rPr>
              <w:t>Design, weboldal, webshop, vonalkódos raktármodul, e-aláírás, admin, tesztelés és átadás az elfogadott scope szerint.</w:t>
            </w:r>
          </w:p>
        </w:tc>
      </w:tr>
      <w:tr>
        <w:tc>
          <w:tcPr>
            <w:tcW w:type="dxa" w:w="2721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5" w:type="dxa"/>
              <w:left w:w="70" w:type="dxa"/>
              <w:bottom w:w="35" w:type="dxa"/>
              <w:right w:w="70" w:type="dxa"/>
            </w:tcMar>
            <w:shd w:val="clear" w:color="auto" w:fill="F8FBFD"/>
          </w:tcPr>
          <w:p>
            <w:pPr>
              <w:spacing w:after="0" w:line="252" w:lineRule="auto"/>
            </w:pPr>
            <w:r/>
            <w:r>
              <w:rPr>
                <w:rFonts w:ascii="Calibri" w:hAnsi="Calibri"/>
                <w:b/>
                <w:color w:val="1F4E79"/>
                <w:sz w:val="19"/>
              </w:rPr>
              <w:t>Fizetési ütemezés</w:t>
            </w:r>
          </w:p>
        </w:tc>
        <w:tc>
          <w:tcPr>
            <w:tcW w:type="dxa" w:w="3515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5" w:type="dxa"/>
              <w:left w:w="70" w:type="dxa"/>
              <w:bottom w:w="35" w:type="dxa"/>
              <w:right w:w="70" w:type="dxa"/>
            </w:tcMar>
            <w:shd w:val="clear" w:color="auto" w:fill="F8FBFD"/>
          </w:tcPr>
          <w:p>
            <w:pPr>
              <w:spacing w:after="0" w:line="252" w:lineRule="auto"/>
            </w:pPr>
            <w:r/>
            <w:r>
              <w:rPr>
                <w:rFonts w:ascii="Calibri" w:hAnsi="Calibri"/>
                <w:b w:val="0"/>
                <w:sz w:val="19"/>
              </w:rPr>
              <w:t>40% előleg, 40% fejlesztési mérföldkő, 20% átadáskor</w:t>
            </w:r>
          </w:p>
        </w:tc>
        <w:tc>
          <w:tcPr>
            <w:tcW w:type="dxa" w:w="3402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5" w:type="dxa"/>
              <w:left w:w="70" w:type="dxa"/>
              <w:bottom w:w="35" w:type="dxa"/>
              <w:right w:w="70" w:type="dxa"/>
            </w:tcMar>
            <w:shd w:val="clear" w:color="auto" w:fill="F8FBFD"/>
          </w:tcPr>
          <w:p>
            <w:pPr>
              <w:spacing w:after="0" w:line="252" w:lineRule="auto"/>
            </w:pPr>
            <w:r/>
            <w:r>
              <w:rPr>
                <w:rFonts w:ascii="Calibri" w:hAnsi="Calibri"/>
                <w:b w:val="0"/>
                <w:sz w:val="19"/>
              </w:rPr>
              <w:t>Fejlesztés indítása az elfogadott dokumentum és előleg/szerződés után.</w:t>
            </w:r>
          </w:p>
        </w:tc>
      </w:tr>
      <w:tr>
        <w:tc>
          <w:tcPr>
            <w:tcW w:type="dxa" w:w="2721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5" w:type="dxa"/>
              <w:left w:w="70" w:type="dxa"/>
              <w:bottom w:w="35" w:type="dxa"/>
              <w:right w:w="7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Calibri" w:hAnsi="Calibri"/>
                <w:b/>
                <w:color w:val="1F4E79"/>
                <w:sz w:val="19"/>
              </w:rPr>
              <w:t>Havi üzemeltetés és support</w:t>
            </w:r>
          </w:p>
        </w:tc>
        <w:tc>
          <w:tcPr>
            <w:tcW w:type="dxa" w:w="3515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5" w:type="dxa"/>
              <w:left w:w="70" w:type="dxa"/>
              <w:bottom w:w="35" w:type="dxa"/>
              <w:right w:w="7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Calibri" w:hAnsi="Calibri"/>
                <w:b w:val="0"/>
                <w:sz w:val="19"/>
              </w:rPr>
              <w:t>70 000 - 85 000 Ft nettó / hó + külső szolgáltatói díjak</w:t>
            </w:r>
          </w:p>
        </w:tc>
        <w:tc>
          <w:tcPr>
            <w:tcW w:type="dxa" w:w="3402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5" w:type="dxa"/>
              <w:left w:w="70" w:type="dxa"/>
              <w:bottom w:w="35" w:type="dxa"/>
              <w:right w:w="7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Calibri" w:hAnsi="Calibri"/>
                <w:b w:val="0"/>
                <w:sz w:val="19"/>
              </w:rPr>
              <w:t>Szerver, backup, monitoring, kisebb support; nagyobb fejlesztés (pl. C csomagra bővítés) külön árazandó.</w:t>
            </w:r>
          </w:p>
        </w:tc>
      </w:tr>
      <w:tr>
        <w:tc>
          <w:tcPr>
            <w:tcW w:type="dxa" w:w="2721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5" w:type="dxa"/>
              <w:left w:w="70" w:type="dxa"/>
              <w:bottom w:w="35" w:type="dxa"/>
              <w:right w:w="70" w:type="dxa"/>
            </w:tcMar>
            <w:shd w:val="clear" w:color="auto" w:fill="F8FBFD"/>
          </w:tcPr>
          <w:p>
            <w:pPr>
              <w:spacing w:after="0" w:line="252" w:lineRule="auto"/>
            </w:pPr>
            <w:r/>
            <w:r>
              <w:rPr>
                <w:rFonts w:ascii="Calibri" w:hAnsi="Calibri"/>
                <w:b/>
                <w:color w:val="1F4E79"/>
                <w:sz w:val="19"/>
              </w:rPr>
              <w:t>SLA első válaszidő</w:t>
            </w:r>
          </w:p>
        </w:tc>
        <w:tc>
          <w:tcPr>
            <w:tcW w:type="dxa" w:w="3515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5" w:type="dxa"/>
              <w:left w:w="70" w:type="dxa"/>
              <w:bottom w:w="35" w:type="dxa"/>
              <w:right w:w="70" w:type="dxa"/>
            </w:tcMar>
            <w:shd w:val="clear" w:color="auto" w:fill="F8FBFD"/>
          </w:tcPr>
          <w:p>
            <w:pPr>
              <w:spacing w:after="0" w:line="252" w:lineRule="auto"/>
            </w:pPr>
            <w:r/>
            <w:r>
              <w:rPr>
                <w:rFonts w:ascii="Calibri" w:hAnsi="Calibri"/>
                <w:b w:val="0"/>
                <w:sz w:val="19"/>
              </w:rPr>
              <w:t>24h alap; 12h opcionálisan, felárral</w:t>
            </w:r>
          </w:p>
        </w:tc>
        <w:tc>
          <w:tcPr>
            <w:tcW w:type="dxa" w:w="3402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5" w:type="dxa"/>
              <w:left w:w="70" w:type="dxa"/>
              <w:bottom w:w="35" w:type="dxa"/>
              <w:right w:w="70" w:type="dxa"/>
            </w:tcMar>
            <w:shd w:val="clear" w:color="auto" w:fill="F8FBFD"/>
          </w:tcPr>
          <w:p>
            <w:pPr>
              <w:spacing w:after="0" w:line="252" w:lineRule="auto"/>
            </w:pPr>
            <w:r/>
            <w:r>
              <w:rPr>
                <w:rFonts w:ascii="Calibri" w:hAnsi="Calibri"/>
                <w:b w:val="0"/>
                <w:sz w:val="19"/>
              </w:rPr>
              <w:t>Az első válaszidő nem azonos a végleges hibajavítási idővel.</w:t>
            </w:r>
          </w:p>
        </w:tc>
      </w:tr>
      <w:tr>
        <w:tc>
          <w:tcPr>
            <w:tcW w:type="dxa" w:w="2721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5" w:type="dxa"/>
              <w:left w:w="70" w:type="dxa"/>
              <w:bottom w:w="35" w:type="dxa"/>
              <w:right w:w="70" w:type="dxa"/>
            </w:tcMar>
            <w:shd w:val="clear" w:color="auto" w:fill="F8FBFD"/>
          </w:tcPr>
          <w:p>
            <w:pPr>
              <w:spacing w:after="0" w:line="252" w:lineRule="auto"/>
            </w:pPr>
            <w:r/>
            <w:r>
              <w:rPr>
                <w:rFonts w:ascii="Calibri" w:hAnsi="Calibri"/>
                <w:b/>
                <w:color w:val="1F4E79"/>
                <w:sz w:val="19"/>
              </w:rPr>
              <w:t>Teljes végösszeg</w:t>
            </w:r>
          </w:p>
        </w:tc>
        <w:tc>
          <w:tcPr>
            <w:tcW w:type="dxa" w:w="3515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5" w:type="dxa"/>
              <w:left w:w="70" w:type="dxa"/>
              <w:bottom w:w="35" w:type="dxa"/>
              <w:right w:w="70" w:type="dxa"/>
            </w:tcMar>
            <w:shd w:val="clear" w:color="auto" w:fill="F8FBFD"/>
          </w:tcPr>
          <w:p>
            <w:pPr>
              <w:spacing w:after="0" w:line="252" w:lineRule="auto"/>
            </w:pPr>
            <w:r/>
            <w:r>
              <w:rPr>
                <w:rFonts w:ascii="Calibri" w:hAnsi="Calibri"/>
                <w:b/>
                <w:color w:val="1F4E79"/>
                <w:sz w:val="19"/>
              </w:rPr>
              <w:t>A sávon belüli végleges ár a scope véglegesítése után kerül meghatározásra.</w:t>
            </w:r>
          </w:p>
        </w:tc>
        <w:tc>
          <w:tcPr>
            <w:tcW w:type="dxa" w:w="3402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5" w:type="dxa"/>
              <w:left w:w="70" w:type="dxa"/>
              <w:bottom w:w="35" w:type="dxa"/>
              <w:right w:w="70" w:type="dxa"/>
            </w:tcMar>
            <w:shd w:val="clear" w:color="auto" w:fill="F8FBFD"/>
          </w:tcPr>
          <w:p>
            <w:pPr>
              <w:spacing w:after="0" w:line="252" w:lineRule="auto"/>
            </w:pPr>
            <w:r/>
            <w:r>
              <w:rPr>
                <w:rFonts w:ascii="Calibri" w:hAnsi="Calibri"/>
                <w:b w:val="0"/>
                <w:sz w:val="19"/>
              </w:rPr>
              <w:t>A havi üzemeltetés és a külső szolgáltatói díjak nem részei az egyszeri fejlesztési díjnak.</w:t>
            </w:r>
          </w:p>
        </w:tc>
      </w:tr>
    </w:tbl>
    <w:p>
      <w:pPr>
        <w:keepNext/>
        <w:spacing w:before="240" w:after="80"/>
        <w:pBdr>
          <w:bottom w:val="single" w:sz="4" w:space="2" w:color="8EAADB"/>
        </w:pBdr>
      </w:pPr>
      <w:r>
        <w:rPr>
          <w:rFonts w:ascii="Calibri" w:hAnsi="Calibri"/>
          <w:b/>
          <w:color w:val="1F4E79"/>
          <w:sz w:val="25"/>
        </w:rPr>
        <w:t>6. Ütemezés és felhasználási jogok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c>
          <w:tcPr>
            <w:tcW w:type="dxa" w:w="2721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1F4E79"/>
            <w:tcMar>
              <w:top w:w="45" w:type="dxa"/>
              <w:left w:w="70" w:type="dxa"/>
              <w:bottom w:w="45" w:type="dxa"/>
              <w:right w:w="7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9"/>
              </w:rPr>
              <w:t>Tétel</w:t>
            </w:r>
          </w:p>
        </w:tc>
        <w:tc>
          <w:tcPr>
            <w:tcW w:type="dxa" w:w="3515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1F4E79"/>
            <w:tcMar>
              <w:top w:w="45" w:type="dxa"/>
              <w:left w:w="70" w:type="dxa"/>
              <w:bottom w:w="45" w:type="dxa"/>
              <w:right w:w="7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9"/>
              </w:rPr>
              <w:t>Vállalás</w:t>
            </w:r>
          </w:p>
        </w:tc>
        <w:tc>
          <w:tcPr>
            <w:tcW w:type="dxa" w:w="3402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1F4E79"/>
            <w:tcMar>
              <w:top w:w="45" w:type="dxa"/>
              <w:left w:w="70" w:type="dxa"/>
              <w:bottom w:w="45" w:type="dxa"/>
              <w:right w:w="7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9"/>
              </w:rPr>
              <w:t>Megjegyzés</w:t>
            </w:r>
          </w:p>
        </w:tc>
      </w:tr>
      <w:tr>
        <w:tc>
          <w:tcPr>
            <w:tcW w:type="dxa" w:w="2721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5" w:type="dxa"/>
              <w:left w:w="70" w:type="dxa"/>
              <w:bottom w:w="35" w:type="dxa"/>
              <w:right w:w="7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1F4E79"/>
                <w:sz w:val="19"/>
              </w:rPr>
              <w:t>Vállalt átadási határidő</w:t>
            </w:r>
          </w:p>
        </w:tc>
        <w:tc>
          <w:tcPr>
            <w:tcW w:type="dxa" w:w="3515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5" w:type="dxa"/>
              <w:left w:w="70" w:type="dxa"/>
              <w:bottom w:w="35" w:type="dxa"/>
              <w:right w:w="7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 w:val="0"/>
                <w:sz w:val="19"/>
              </w:rPr>
              <w:t>kb. 9-12 hét</w:t>
            </w:r>
          </w:p>
        </w:tc>
        <w:tc>
          <w:tcPr>
            <w:tcW w:type="dxa" w:w="3402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5" w:type="dxa"/>
              <w:left w:w="70" w:type="dxa"/>
              <w:bottom w:w="35" w:type="dxa"/>
              <w:right w:w="7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 w:val="0"/>
                <w:sz w:val="19"/>
              </w:rPr>
              <w:t>A szerződéskötéstől és a szükséges megrendelői anyagok (a vonalkódolvasó hardvert is beleértve) átadásától számítva; a megrendelői visszajelzésre való várakozás ideje nem számít bele.</w:t>
            </w:r>
          </w:p>
        </w:tc>
      </w:tr>
      <w:tr>
        <w:tc>
          <w:tcPr>
            <w:tcW w:type="dxa" w:w="2721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5" w:type="dxa"/>
              <w:left w:w="70" w:type="dxa"/>
              <w:bottom w:w="35" w:type="dxa"/>
              <w:right w:w="7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1F4E79"/>
                <w:sz w:val="19"/>
              </w:rPr>
              <w:t>Egyeztetési (revíziós) körök</w:t>
            </w:r>
          </w:p>
        </w:tc>
        <w:tc>
          <w:tcPr>
            <w:tcW w:type="dxa" w:w="3515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5" w:type="dxa"/>
              <w:left w:w="70" w:type="dxa"/>
              <w:bottom w:w="35" w:type="dxa"/>
              <w:right w:w="7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 w:val="0"/>
                <w:sz w:val="19"/>
              </w:rPr>
              <w:t>3 kör design és funkció szinten</w:t>
            </w:r>
          </w:p>
        </w:tc>
        <w:tc>
          <w:tcPr>
            <w:tcW w:type="dxa" w:w="3402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5" w:type="dxa"/>
              <w:left w:w="70" w:type="dxa"/>
              <w:bottom w:w="35" w:type="dxa"/>
              <w:right w:w="7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 w:val="0"/>
                <w:sz w:val="19"/>
              </w:rPr>
              <w:t>Az ezen felüli módosítási igény óradíjban (30 000 Ft nettó / óra) vagy külön ajánlat szerint valósul meg.</w:t>
            </w:r>
          </w:p>
        </w:tc>
      </w:tr>
      <w:tr>
        <w:tc>
          <w:tcPr>
            <w:tcW w:type="dxa" w:w="2721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F8FBFD"/>
            <w:tcMar>
              <w:top w:w="35" w:type="dxa"/>
              <w:left w:w="70" w:type="dxa"/>
              <w:bottom w:w="35" w:type="dxa"/>
              <w:right w:w="7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1F4E79"/>
                <w:sz w:val="19"/>
              </w:rPr>
              <w:t>Betanítás és dokumentáció</w:t>
            </w:r>
          </w:p>
        </w:tc>
        <w:tc>
          <w:tcPr>
            <w:tcW w:type="dxa" w:w="3515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F8FBFD"/>
            <w:tcMar>
              <w:top w:w="35" w:type="dxa"/>
              <w:left w:w="70" w:type="dxa"/>
              <w:bottom w:w="35" w:type="dxa"/>
              <w:right w:w="7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 w:val="0"/>
                <w:sz w:val="19"/>
              </w:rPr>
              <w:t>írásos admin és raktári dokumentáció + 1 online betanítás (kb. 1,5 óra)</w:t>
            </w:r>
          </w:p>
        </w:tc>
        <w:tc>
          <w:tcPr>
            <w:tcW w:type="dxa" w:w="3402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F8FBFD"/>
            <w:tcMar>
              <w:top w:w="35" w:type="dxa"/>
              <w:left w:w="70" w:type="dxa"/>
              <w:bottom w:w="35" w:type="dxa"/>
              <w:right w:w="7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 w:val="0"/>
                <w:sz w:val="19"/>
              </w:rPr>
              <w:t>Átadáskor, az admin és a raktári felhasználóknak. További vagy ismétlő alkalom felárral kérhető.</w:t>
            </w:r>
          </w:p>
        </w:tc>
      </w:tr>
      <w:tr>
        <w:tc>
          <w:tcPr>
            <w:tcW w:type="dxa" w:w="2721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5" w:type="dxa"/>
              <w:left w:w="70" w:type="dxa"/>
              <w:bottom w:w="35" w:type="dxa"/>
              <w:right w:w="7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1F4E79"/>
                <w:sz w:val="19"/>
              </w:rPr>
              <w:t>Forráskód és felhasználási jog</w:t>
            </w:r>
          </w:p>
        </w:tc>
        <w:tc>
          <w:tcPr>
            <w:tcW w:type="dxa" w:w="3515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5" w:type="dxa"/>
              <w:left w:w="70" w:type="dxa"/>
              <w:bottom w:w="35" w:type="dxa"/>
              <w:right w:w="7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 w:val="0"/>
                <w:sz w:val="19"/>
              </w:rPr>
              <w:t>korlátlan, örökös felhasználási jog a Megrendelő saját üzleti működésére</w:t>
            </w:r>
          </w:p>
        </w:tc>
        <w:tc>
          <w:tcPr>
            <w:tcW w:type="dxa" w:w="3402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5" w:type="dxa"/>
              <w:left w:w="70" w:type="dxa"/>
              <w:bottom w:w="35" w:type="dxa"/>
              <w:right w:w="7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 w:val="0"/>
                <w:sz w:val="19"/>
              </w:rPr>
              <w:t>A forráskód átadása kérésre, egyszeri külön díj ellenében lehetséges; az átadás-átvétel részeként történő teljes forráskód-átadás a „C” csomag része.</w:t>
            </w:r>
          </w:p>
        </w:tc>
      </w:tr>
    </w:tbl>
    <w:p>
      <w:pPr>
        <w:keepNext/>
        <w:spacing w:before="240" w:after="80"/>
        <w:pBdr>
          <w:bottom w:val="single" w:sz="4" w:space="2" w:color="8EAADB"/>
        </w:pBdr>
      </w:pPr>
      <w:r>
        <w:rPr>
          <w:rFonts w:ascii="Calibri" w:hAnsi="Calibri"/>
          <w:b/>
          <w:color w:val="1F4E79"/>
          <w:sz w:val="25"/>
        </w:rPr>
        <w:t>7. Külső szolgáltatói költségek (tájékoztató)</w:t>
      </w:r>
    </w:p>
    <w:p>
      <w:pPr>
        <w:spacing w:before="0" w:after="120" w:line="259" w:lineRule="auto"/>
      </w:pPr>
      <w:r>
        <w:rPr>
          <w:rFonts w:ascii="Calibri" w:hAnsi="Calibri"/>
          <w:b w:val="0"/>
          <w:sz w:val="20"/>
        </w:rPr>
        <w:t xml:space="preserve">Az alábbi szolgáltatások a rendszer működéséhez szükségesek, de </w:t>
      </w:r>
      <w:r>
        <w:rPr>
          <w:rFonts w:ascii="Calibri" w:hAnsi="Calibri"/>
          <w:b/>
          <w:color w:val="1F4E79"/>
          <w:sz w:val="20"/>
        </w:rPr>
        <w:t>nem képezik az ajánlati ár részét</w:t>
      </w:r>
      <w:r>
        <w:rPr>
          <w:rFonts w:ascii="Calibri" w:hAnsi="Calibri"/>
          <w:b w:val="0"/>
          <w:sz w:val="20"/>
        </w:rPr>
        <w:t>: közvetlenül a szolgáltatóknak fizetendők, a Megrendelő nevére szóló előfizetéssel. A megadott összegek harmadik felek nyilvános listaárain alapuló, tájékoztató jellegű nagyságrendek (2026. szeptemberi állapot) - nem ajánlati árak, és a szolgáltatók árazásának változásáért a Vállalkozó nem vállal felelősséget. A pontos csomagválasztás a véglegesített forgalmi és funkcionális igények alapján, a Megrendelővel közösen történik.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c>
          <w:tcPr>
            <w:tcW w:type="dxa" w:w="2721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1F4E79"/>
            <w:tcMar>
              <w:top w:w="45" w:type="dxa"/>
              <w:left w:w="70" w:type="dxa"/>
              <w:bottom w:w="45" w:type="dxa"/>
              <w:right w:w="7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9"/>
              </w:rPr>
              <w:t>Szolgáltatás</w:t>
            </w:r>
          </w:p>
        </w:tc>
        <w:tc>
          <w:tcPr>
            <w:tcW w:type="dxa" w:w="3515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1F4E79"/>
            <w:tcMar>
              <w:top w:w="45" w:type="dxa"/>
              <w:left w:w="70" w:type="dxa"/>
              <w:bottom w:w="45" w:type="dxa"/>
              <w:right w:w="7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9"/>
              </w:rPr>
              <w:t>Lehetséges opciók</w:t>
            </w:r>
          </w:p>
        </w:tc>
        <w:tc>
          <w:tcPr>
            <w:tcW w:type="dxa" w:w="3402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1F4E79"/>
            <w:tcMar>
              <w:top w:w="45" w:type="dxa"/>
              <w:left w:w="70" w:type="dxa"/>
              <w:bottom w:w="45" w:type="dxa"/>
              <w:right w:w="7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9"/>
              </w:rPr>
              <w:t>Tájékoztató nagyságrend</w:t>
            </w:r>
          </w:p>
        </w:tc>
      </w:tr>
      <w:tr>
        <w:tc>
          <w:tcPr>
            <w:tcW w:type="dxa" w:w="2721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5" w:type="dxa"/>
              <w:left w:w="70" w:type="dxa"/>
              <w:bottom w:w="35" w:type="dxa"/>
              <w:right w:w="7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1F4E79"/>
                <w:sz w:val="19"/>
              </w:rPr>
              <w:t>Szerver / hosting</w:t>
            </w:r>
          </w:p>
        </w:tc>
        <w:tc>
          <w:tcPr>
            <w:tcW w:type="dxa" w:w="3515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5" w:type="dxa"/>
              <w:left w:w="70" w:type="dxa"/>
              <w:bottom w:w="35" w:type="dxa"/>
              <w:right w:w="7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 w:val="0"/>
                <w:sz w:val="19"/>
              </w:rPr>
              <w:t>Rackforest VPS (pl. Linux SSD VPS 4 vagy VPS 8), vagy a meglévő hosting továbbhasználata</w:t>
            </w:r>
          </w:p>
        </w:tc>
        <w:tc>
          <w:tcPr>
            <w:tcW w:type="dxa" w:w="3402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5" w:type="dxa"/>
              <w:left w:w="70" w:type="dxa"/>
              <w:bottom w:w="35" w:type="dxa"/>
              <w:right w:w="7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 w:val="0"/>
                <w:sz w:val="19"/>
              </w:rPr>
              <w:t>kb. 3 500 - 7 000 Ft nettó / hó</w:t>
            </w:r>
          </w:p>
        </w:tc>
      </w:tr>
      <w:tr>
        <w:tc>
          <w:tcPr>
            <w:tcW w:type="dxa" w:w="2721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F8FBFD"/>
            <w:tcMar>
              <w:top w:w="35" w:type="dxa"/>
              <w:left w:w="70" w:type="dxa"/>
              <w:bottom w:w="35" w:type="dxa"/>
              <w:right w:w="7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1F4E79"/>
                <w:sz w:val="19"/>
              </w:rPr>
              <w:t>Domain</w:t>
            </w:r>
          </w:p>
        </w:tc>
        <w:tc>
          <w:tcPr>
            <w:tcW w:type="dxa" w:w="3515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F8FBFD"/>
            <w:tcMar>
              <w:top w:w="35" w:type="dxa"/>
              <w:left w:w="70" w:type="dxa"/>
              <w:bottom w:w="35" w:type="dxa"/>
              <w:right w:w="7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 w:val="0"/>
                <w:sz w:val="19"/>
              </w:rPr>
              <w:t>.hu vagy .com regisztráció és éves megújítás</w:t>
            </w:r>
          </w:p>
        </w:tc>
        <w:tc>
          <w:tcPr>
            <w:tcW w:type="dxa" w:w="3402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F8FBFD"/>
            <w:tcMar>
              <w:top w:w="35" w:type="dxa"/>
              <w:left w:w="70" w:type="dxa"/>
              <w:bottom w:w="35" w:type="dxa"/>
              <w:right w:w="7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 w:val="0"/>
                <w:sz w:val="19"/>
              </w:rPr>
              <w:t>kb. 3 000 - 8 000 Ft nettó / év</w:t>
            </w:r>
          </w:p>
        </w:tc>
      </w:tr>
      <w:tr>
        <w:tc>
          <w:tcPr>
            <w:tcW w:type="dxa" w:w="2721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5" w:type="dxa"/>
              <w:left w:w="70" w:type="dxa"/>
              <w:bottom w:w="35" w:type="dxa"/>
              <w:right w:w="7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1F4E79"/>
                <w:sz w:val="19"/>
              </w:rPr>
              <w:t>SSL tanúsítvány</w:t>
            </w:r>
          </w:p>
        </w:tc>
        <w:tc>
          <w:tcPr>
            <w:tcW w:type="dxa" w:w="3515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5" w:type="dxa"/>
              <w:left w:w="70" w:type="dxa"/>
              <w:bottom w:w="35" w:type="dxa"/>
              <w:right w:w="7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 w:val="0"/>
                <w:sz w:val="19"/>
              </w:rPr>
              <w:t>Let's Encrypt (díjmentes) vagy kereskedelmi DV/OV tanúsítvány</w:t>
            </w:r>
          </w:p>
        </w:tc>
        <w:tc>
          <w:tcPr>
            <w:tcW w:type="dxa" w:w="3402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5" w:type="dxa"/>
              <w:left w:w="70" w:type="dxa"/>
              <w:bottom w:w="35" w:type="dxa"/>
              <w:right w:w="7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 w:val="0"/>
                <w:sz w:val="19"/>
              </w:rPr>
              <w:t>0 - kb. 25 000 Ft nettó / év</w:t>
            </w:r>
          </w:p>
        </w:tc>
      </w:tr>
      <w:tr>
        <w:tc>
          <w:tcPr>
            <w:tcW w:type="dxa" w:w="2721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F8FBFD"/>
            <w:tcMar>
              <w:top w:w="35" w:type="dxa"/>
              <w:left w:w="70" w:type="dxa"/>
              <w:bottom w:w="35" w:type="dxa"/>
              <w:right w:w="7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1F4E79"/>
                <w:sz w:val="19"/>
              </w:rPr>
              <w:t>Számlázó program</w:t>
            </w:r>
          </w:p>
        </w:tc>
        <w:tc>
          <w:tcPr>
            <w:tcW w:type="dxa" w:w="3515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F8FBFD"/>
            <w:tcMar>
              <w:top w:w="35" w:type="dxa"/>
              <w:left w:w="70" w:type="dxa"/>
              <w:bottom w:w="35" w:type="dxa"/>
              <w:right w:w="7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 w:val="0"/>
                <w:sz w:val="19"/>
              </w:rPr>
              <w:t>Számlázz.hu előfizetés (#start / #digital / #profi) - az API-használathoz előfizetés szükséges</w:t>
            </w:r>
          </w:p>
        </w:tc>
        <w:tc>
          <w:tcPr>
            <w:tcW w:type="dxa" w:w="3402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F8FBFD"/>
            <w:tcMar>
              <w:top w:w="35" w:type="dxa"/>
              <w:left w:w="70" w:type="dxa"/>
              <w:bottom w:w="35" w:type="dxa"/>
              <w:right w:w="7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 w:val="0"/>
                <w:sz w:val="19"/>
              </w:rPr>
              <w:t>kb. 1 700 - 3 300 Ft nettó / hó éves előfizetéssel (+ kb. 6 Ft / e-számla)</w:t>
            </w:r>
          </w:p>
        </w:tc>
      </w:tr>
      <w:tr>
        <w:tc>
          <w:tcPr>
            <w:tcW w:type="dxa" w:w="2721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5" w:type="dxa"/>
              <w:left w:w="70" w:type="dxa"/>
              <w:bottom w:w="35" w:type="dxa"/>
              <w:right w:w="7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1F4E79"/>
                <w:sz w:val="19"/>
              </w:rPr>
              <w:t>Online fizetés</w:t>
            </w:r>
          </w:p>
        </w:tc>
        <w:tc>
          <w:tcPr>
            <w:tcW w:type="dxa" w:w="3515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5" w:type="dxa"/>
              <w:left w:w="70" w:type="dxa"/>
              <w:bottom w:w="35" w:type="dxa"/>
              <w:right w:w="7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 w:val="0"/>
                <w:sz w:val="19"/>
              </w:rPr>
              <w:t>Barion, SimplePay vagy Stripe</w:t>
            </w:r>
          </w:p>
        </w:tc>
        <w:tc>
          <w:tcPr>
            <w:tcW w:type="dxa" w:w="3402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5" w:type="dxa"/>
              <w:left w:w="70" w:type="dxa"/>
              <w:bottom w:w="35" w:type="dxa"/>
              <w:right w:w="7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 w:val="0"/>
                <w:sz w:val="19"/>
              </w:rPr>
              <w:t>tranzakcióarányos, kb. 1-1,5% (Stripe: kb. 1,5% + 85 Ft / tranzakció); belépési és havi díj nélkül vagy egyedi megállapodás szerint</w:t>
            </w:r>
          </w:p>
        </w:tc>
      </w:tr>
      <w:tr>
        <w:tc>
          <w:tcPr>
            <w:tcW w:type="dxa" w:w="2721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F8FBFD"/>
            <w:tcMar>
              <w:top w:w="35" w:type="dxa"/>
              <w:left w:w="70" w:type="dxa"/>
              <w:bottom w:w="35" w:type="dxa"/>
              <w:right w:w="7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1F4E79"/>
                <w:sz w:val="19"/>
              </w:rPr>
              <w:t>Vonalkódolvasó hardver</w:t>
            </w:r>
          </w:p>
        </w:tc>
        <w:tc>
          <w:tcPr>
            <w:tcW w:type="dxa" w:w="3515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F8FBFD"/>
            <w:tcMar>
              <w:top w:w="35" w:type="dxa"/>
              <w:left w:w="70" w:type="dxa"/>
              <w:bottom w:w="35" w:type="dxa"/>
              <w:right w:w="7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 w:val="0"/>
                <w:sz w:val="19"/>
              </w:rPr>
              <w:t>USB (HID) vagy Bluetooth kézi szkenner, raktári munkaállomásonként 1 db - a Megrendelő beszerzése, nem fejlesztői tétel</w:t>
            </w:r>
          </w:p>
        </w:tc>
        <w:tc>
          <w:tcPr>
            <w:tcW w:type="dxa" w:w="3402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F8FBFD"/>
            <w:tcMar>
              <w:top w:w="35" w:type="dxa"/>
              <w:left w:w="70" w:type="dxa"/>
              <w:bottom w:w="35" w:type="dxa"/>
              <w:right w:w="7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 w:val="0"/>
                <w:sz w:val="19"/>
              </w:rPr>
              <w:t>kb. 15 000 - 60 000 Ft nettó / eszköz (egyszeri)</w:t>
            </w:r>
          </w:p>
        </w:tc>
      </w:tr>
      <w:tr>
        <w:tc>
          <w:tcPr>
            <w:tcW w:type="dxa" w:w="2721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5" w:type="dxa"/>
              <w:left w:w="70" w:type="dxa"/>
              <w:bottom w:w="35" w:type="dxa"/>
              <w:right w:w="7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1F4E79"/>
                <w:sz w:val="19"/>
              </w:rPr>
              <w:t>Tranzakciós e-mail (opcionális)</w:t>
            </w:r>
          </w:p>
        </w:tc>
        <w:tc>
          <w:tcPr>
            <w:tcW w:type="dxa" w:w="3515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5" w:type="dxa"/>
              <w:left w:w="70" w:type="dxa"/>
              <w:bottom w:w="35" w:type="dxa"/>
              <w:right w:w="7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 w:val="0"/>
                <w:sz w:val="19"/>
              </w:rPr>
              <w:t>saját SMTP vagy külső e-mail küldő szolgáltatás</w:t>
            </w:r>
          </w:p>
        </w:tc>
        <w:tc>
          <w:tcPr>
            <w:tcW w:type="dxa" w:w="3402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35" w:type="dxa"/>
              <w:left w:w="70" w:type="dxa"/>
              <w:bottom w:w="35" w:type="dxa"/>
              <w:right w:w="7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 w:val="0"/>
                <w:sz w:val="19"/>
              </w:rPr>
              <w:t>0 - kb. 5 000 Ft nettó / hó</w:t>
            </w:r>
          </w:p>
        </w:tc>
      </w:tr>
      <w:tr>
        <w:tc>
          <w:tcPr>
            <w:tcW w:type="dxa" w:w="2721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F8FBFD"/>
            <w:tcMar>
              <w:top w:w="35" w:type="dxa"/>
              <w:left w:w="70" w:type="dxa"/>
              <w:bottom w:w="35" w:type="dxa"/>
              <w:right w:w="7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1F4E79"/>
                <w:sz w:val="19"/>
              </w:rPr>
              <w:t>Becsült havi külső költség</w:t>
            </w:r>
          </w:p>
        </w:tc>
        <w:tc>
          <w:tcPr>
            <w:tcW w:type="dxa" w:w="3515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F8FBFD"/>
            <w:tcMar>
              <w:top w:w="35" w:type="dxa"/>
              <w:left w:w="70" w:type="dxa"/>
              <w:bottom w:w="35" w:type="dxa"/>
              <w:right w:w="7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 w:val="0"/>
                <w:sz w:val="19"/>
              </w:rPr>
              <w:t>szerver + domain/SSL + számlázó + e-mail</w:t>
            </w:r>
          </w:p>
        </w:tc>
        <w:tc>
          <w:tcPr>
            <w:tcW w:type="dxa" w:w="3402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F8FBFD"/>
            <w:tcMar>
              <w:top w:w="35" w:type="dxa"/>
              <w:left w:w="70" w:type="dxa"/>
              <w:bottom w:w="35" w:type="dxa"/>
              <w:right w:w="7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 w:val="0"/>
                <w:sz w:val="19"/>
              </w:rPr>
              <w:t>kb. 5 000 - 11 000 Ft nettó / hó, + a tranzakciós díjak, + egyszeri hardverköltség</w:t>
            </w:r>
          </w:p>
        </w:tc>
      </w:tr>
    </w:tbl>
    <w:p>
      <w:pPr>
        <w:keepNext/>
        <w:spacing w:before="240" w:after="80"/>
        <w:pBdr>
          <w:bottom w:val="single" w:sz="4" w:space="2" w:color="8EAADB"/>
        </w:pBdr>
      </w:pPr>
      <w:r>
        <w:rPr>
          <w:rFonts w:ascii="Calibri" w:hAnsi="Calibri"/>
          <w:b/>
          <w:color w:val="1F4E79"/>
          <w:sz w:val="25"/>
        </w:rPr>
        <w:t>8. Megrendelői oldalról szükséges anyagok és döntések</w:t>
      </w:r>
    </w:p>
    <w:p>
      <w:pPr>
        <w:spacing w:before="0" w:after="120" w:line="259" w:lineRule="auto"/>
      </w:pPr>
      <w:r>
        <w:rPr>
          <w:rFonts w:ascii="Calibri" w:hAnsi="Calibri"/>
          <w:b w:val="0"/>
          <w:sz w:val="20"/>
        </w:rPr>
        <w:t>Végleges termékadatok (max 50-60 tétel): nevek, leírások, árak, képek, kategóriák; logó, arculati elemek, referenciaszövegek, elérhetőségek; a kizárólagos magyarországi forgalmazói jogviszony igazolása/szövege, ha ezt fel kell tüntetni; döntés a fizetési szolgáltatóról; számlázz.hu fiók hozzáférés/API-kulcs; domain és hosting hozzáférések vagy döntés új Rackforest-szerverről; vonalkódolvasó hardver beszerzése (raktári kollégák eszköze - nem fejlesztői tétel); tájékoztatás arról, hogy a termékeken van-e már használható (gyártói) vonalkód; kapcsolattartók, admin felhasználók, tesztelésre kijelölt személyek.</w:t>
      </w:r>
    </w:p>
    <w:p>
      <w:pPr>
        <w:keepNext/>
        <w:spacing w:before="240" w:after="80"/>
        <w:pBdr>
          <w:bottom w:val="single" w:sz="4" w:space="2" w:color="8EAADB"/>
        </w:pBdr>
      </w:pPr>
      <w:r>
        <w:rPr>
          <w:rFonts w:ascii="Calibri" w:hAnsi="Calibri"/>
          <w:b/>
          <w:color w:val="1F4E79"/>
          <w:sz w:val="25"/>
        </w:rPr>
        <w:t>9. Adatvédelem, biztonság és átadás</w:t>
      </w:r>
    </w:p>
    <w:p>
      <w:pPr>
        <w:spacing w:before="0" w:after="120" w:line="259" w:lineRule="auto"/>
      </w:pPr>
      <w:r>
        <w:rPr>
          <w:rFonts w:ascii="Calibri" w:hAnsi="Calibri"/>
          <w:b w:val="0"/>
          <w:sz w:val="20"/>
        </w:rPr>
        <w:t>A fejlesztés során adatminimalizálás, jogosultságkezelés, biztonságos adatkapcsolat, mentés, naplózás és dokumentált hozzáférés-kezelés szükséges. Az átvételi e-aláírás jogi szempontból egyszerű (nem minősített, e-Idas szintű) elektronikus aláírásnak minősül; ha ennél magasabb szintű hitelesítés szükséges, az külön egyeztetendő. A végleges adatvédelmi tájékoztató és ÁSZF jogi szakértő vagy a Megrendelő által biztosított dokumentáció alapján kerülhet publikálásra. Átadáskor biztosítható: élesített rendszer, admin hozzáférés, a forráskód/verziókezelő hozzáférés a 6. pont szerint, rövid üzemeltetési leírás, tesztelési összefoglaló és havi support/üzemeltetési ajánlat.</w:t>
      </w:r>
    </w:p>
    <w:p>
      <w:pPr>
        <w:keepNext/>
        <w:spacing w:before="240" w:after="80"/>
        <w:pBdr>
          <w:bottom w:val="single" w:sz="4" w:space="2" w:color="8EAADB"/>
        </w:pBdr>
      </w:pPr>
      <w:r>
        <w:rPr>
          <w:rFonts w:ascii="Calibri" w:hAnsi="Calibri"/>
          <w:b/>
          <w:color w:val="1F4E79"/>
          <w:sz w:val="25"/>
        </w:rPr>
        <w:t>10. Ügyfél megjegyzés és kérelmek</w:t>
      </w:r>
    </w:p>
    <w:p>
      <w:pPr>
        <w:spacing w:after="600" w:before="0"/>
      </w:pPr>
    </w:p>
    <w:p>
      <w:pPr>
        <w:spacing w:before="200" w:after="120" w:line="259" w:lineRule="auto"/>
      </w:pPr>
      <w:r>
        <w:rPr>
          <w:rFonts w:ascii="Calibri" w:hAnsi="Calibri"/>
          <w:b w:val="0"/>
          <w:color w:val="646464"/>
          <w:sz w:val="17"/>
        </w:rPr>
        <w:t>Ez a dokumentum tájékoztató jellegű összefoglaló a választható csomagokról, és nem minősül szerződéses ajánlati kötöttségnek. A részletes technikai specifikáció, a végleges ütemezés és a pontos díjazás a szerződéskötés előtt, közös egyeztetés alapján kerül rögzítésre.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46" w:right="794" w:bottom="646" w:left="794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center"/>
    </w:pPr>
    <w:r>
      <w:rPr>
        <w:rFonts w:ascii="Calibri" w:hAnsi="Calibri"/>
        <w:b w:val="0"/>
        <w:color w:val="646464"/>
        <w:sz w:val="14"/>
      </w:rPr>
      <w:t>Ajánlat - a végleges szerződéses, adatvédelmi és technikai mellékletekkel együtt használható.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/>
        <w:b/>
        <w:color w:val="1F4E79"/>
        <w:sz w:val="16"/>
      </w:rPr>
      <w:t>Biró Ferenc (EV) | Árajánlat „B” csomag (Közép)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logo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